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E94" w:rsidRDefault="005B0E94"/>
    <w:p w:rsidR="001F1436" w:rsidRPr="001F1436" w:rsidRDefault="00DC31E5" w:rsidP="001F14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7pt;margin-top:17.1pt;width:42pt;height:21.4pt;z-index:251660288" stroked="f">
            <v:textbox style="mso-next-textbox:#_x0000_s1030">
              <w:txbxContent>
                <w:p w:rsidR="001F1436" w:rsidRPr="00B75DEE" w:rsidRDefault="001F1436" w:rsidP="001F1436">
                  <w:pPr>
                    <w:rPr>
                      <w:b/>
                    </w:rPr>
                  </w:pPr>
                  <w:r w:rsidRPr="00B75DEE">
                    <w:rPr>
                      <w:b/>
                    </w:rPr>
                    <w:t>1 hr</w:t>
                  </w:r>
                </w:p>
              </w:txbxContent>
            </v:textbox>
          </v:shape>
        </w:pict>
      </w:r>
      <w:r w:rsidR="005B0E94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31" type="#_x0000_t202" style="position:absolute;margin-left:273.3pt;margin-top:20.7pt;width:42pt;height:22.3pt;z-index:251661312" stroked="f">
            <v:textbox style="mso-next-textbox:#_x0000_s1031">
              <w:txbxContent>
                <w:p w:rsidR="001F1436" w:rsidRPr="00B75DEE" w:rsidRDefault="001F1436" w:rsidP="001F1436">
                  <w:pPr>
                    <w:rPr>
                      <w:b/>
                    </w:rPr>
                  </w:pPr>
                  <w:r w:rsidRPr="00B75DEE">
                    <w:rPr>
                      <w:b/>
                    </w:rPr>
                    <w:t>2 hr</w:t>
                  </w:r>
                </w:p>
              </w:txbxContent>
            </v:textbox>
          </v:shape>
        </w:pict>
      </w:r>
      <w:r w:rsidR="001F1436" w:rsidRPr="001F143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17448" cy="2708695"/>
            <wp:effectExtent l="19050" t="0" r="0" b="0"/>
            <wp:docPr id="1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778" cy="2712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1436" w:rsidRPr="001F143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40490" cy="2656936"/>
            <wp:effectExtent l="19050" t="0" r="0" b="0"/>
            <wp:docPr id="2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920" cy="2661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436" w:rsidRPr="001F1436" w:rsidRDefault="001F1436" w:rsidP="001F14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1436" w:rsidRPr="001F1436" w:rsidRDefault="001F1436" w:rsidP="001F14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1436" w:rsidRPr="001F1436" w:rsidRDefault="005B0E94" w:rsidP="001F14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33" type="#_x0000_t202" style="position:absolute;margin-left:275.35pt;margin-top:20.9pt;width:42pt;height:18pt;z-index:251663360" stroked="f">
            <v:textbox style="mso-next-textbox:#_x0000_s1033">
              <w:txbxContent>
                <w:p w:rsidR="001F1436" w:rsidRPr="00B75DEE" w:rsidRDefault="001F1436" w:rsidP="001F1436">
                  <w:pPr>
                    <w:rPr>
                      <w:b/>
                    </w:rPr>
                  </w:pPr>
                  <w:r w:rsidRPr="00B75DEE">
                    <w:rPr>
                      <w:b/>
                    </w:rPr>
                    <w:t>24 hr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32" type="#_x0000_t202" style="position:absolute;margin-left:37.65pt;margin-top:19.1pt;width:42pt;height:18pt;z-index:251662336" stroked="f">
            <v:textbox style="mso-next-textbox:#_x0000_s1032">
              <w:txbxContent>
                <w:p w:rsidR="001F1436" w:rsidRPr="00B75DEE" w:rsidRDefault="001F1436" w:rsidP="001F1436">
                  <w:pPr>
                    <w:rPr>
                      <w:b/>
                    </w:rPr>
                  </w:pPr>
                  <w:r w:rsidRPr="00B75DEE">
                    <w:rPr>
                      <w:b/>
                    </w:rPr>
                    <w:t>4 hr</w:t>
                  </w:r>
                </w:p>
              </w:txbxContent>
            </v:textbox>
          </v:shape>
        </w:pict>
      </w:r>
      <w:r w:rsidR="001F1436" w:rsidRPr="001F143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17448" cy="2553072"/>
            <wp:effectExtent l="19050" t="0" r="0" b="0"/>
            <wp:docPr id="3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843" cy="2555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1436" w:rsidRPr="001F143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30579" cy="2605178"/>
            <wp:effectExtent l="19050" t="0" r="7871" b="0"/>
            <wp:docPr id="4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294" cy="2610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436" w:rsidRPr="001F1436" w:rsidRDefault="001F1436" w:rsidP="001F14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1436" w:rsidRPr="001F1436" w:rsidRDefault="001F1436" w:rsidP="001F14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1436" w:rsidRPr="001F1436" w:rsidRDefault="001F1436" w:rsidP="001F14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1436" w:rsidRPr="001F1436" w:rsidRDefault="001F1436" w:rsidP="00DC3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F1436">
        <w:rPr>
          <w:rFonts w:ascii="Times New Roman" w:eastAsia="Times New Roman" w:hAnsi="Times New Roman" w:cs="Times New Roman"/>
          <w:b/>
          <w:sz w:val="24"/>
          <w:szCs w:val="24"/>
        </w:rPr>
        <w:t>Figure 2.</w:t>
      </w:r>
      <w:proofErr w:type="gramEnd"/>
      <w:r w:rsidRPr="001F14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F1436">
        <w:rPr>
          <w:rFonts w:ascii="Times New Roman" w:eastAsia="Times New Roman" w:hAnsi="Times New Roman" w:cs="Times New Roman"/>
          <w:sz w:val="24"/>
          <w:szCs w:val="24"/>
        </w:rPr>
        <w:t xml:space="preserve">Male mice were </w:t>
      </w:r>
      <w:proofErr w:type="spellStart"/>
      <w:r w:rsidRPr="001F1436">
        <w:rPr>
          <w:rFonts w:ascii="Times New Roman" w:eastAsia="Times New Roman" w:hAnsi="Times New Roman" w:cs="Times New Roman"/>
          <w:sz w:val="24"/>
          <w:szCs w:val="24"/>
        </w:rPr>
        <w:t>intraperitoneally</w:t>
      </w:r>
      <w:proofErr w:type="spellEnd"/>
      <w:r w:rsidRPr="001F1436">
        <w:rPr>
          <w:rFonts w:ascii="Times New Roman" w:eastAsia="Times New Roman" w:hAnsi="Times New Roman" w:cs="Times New Roman"/>
          <w:sz w:val="24"/>
          <w:szCs w:val="24"/>
        </w:rPr>
        <w:t xml:space="preserve"> treated with </w:t>
      </w:r>
      <w:proofErr w:type="spellStart"/>
      <w:r w:rsidRPr="001F1436">
        <w:rPr>
          <w:rFonts w:ascii="Times New Roman" w:eastAsia="Times New Roman" w:hAnsi="Times New Roman" w:cs="Times New Roman"/>
          <w:sz w:val="24"/>
          <w:szCs w:val="24"/>
        </w:rPr>
        <w:t>fentanyl</w:t>
      </w:r>
      <w:proofErr w:type="spellEnd"/>
      <w:r w:rsidRPr="001F1436">
        <w:rPr>
          <w:rFonts w:ascii="Times New Roman" w:eastAsia="Times New Roman" w:hAnsi="Times New Roman" w:cs="Times New Roman"/>
          <w:sz w:val="24"/>
          <w:szCs w:val="24"/>
        </w:rPr>
        <w:t xml:space="preserve"> and its analog</w:t>
      </w:r>
      <w:r w:rsidR="00DC31E5">
        <w:rPr>
          <w:rFonts w:ascii="Times New Roman" w:eastAsia="Times New Roman" w:hAnsi="Times New Roman" w:cs="Times New Roman"/>
          <w:sz w:val="24"/>
          <w:szCs w:val="24"/>
        </w:rPr>
        <w:t>ue</w:t>
      </w:r>
      <w:r w:rsidRPr="001F1436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1F143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1F14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F1436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1F1436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1F1436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1F1436">
        <w:rPr>
          <w:rFonts w:ascii="Times New Roman" w:eastAsia="Times New Roman" w:hAnsi="Times New Roman" w:cs="Times New Roman"/>
          <w:sz w:val="24"/>
          <w:szCs w:val="24"/>
        </w:rPr>
        <w:t xml:space="preserve"> (0.50 LD</w:t>
      </w:r>
      <w:r w:rsidRPr="001F1436">
        <w:rPr>
          <w:rFonts w:ascii="Times New Roman" w:eastAsia="Times New Roman" w:hAnsi="Times New Roman" w:cs="Times New Roman"/>
          <w:sz w:val="24"/>
          <w:szCs w:val="24"/>
          <w:vertAlign w:val="subscript"/>
        </w:rPr>
        <w:t>50</w:t>
      </w:r>
      <w:r w:rsidRPr="001F1436">
        <w:rPr>
          <w:rFonts w:ascii="Times New Roman" w:eastAsia="Times New Roman" w:hAnsi="Times New Roman" w:cs="Times New Roman"/>
          <w:sz w:val="24"/>
          <w:szCs w:val="24"/>
        </w:rPr>
        <w:t>). Plasma levels of IL-1β were measured 1, 2, 4, and 24 hr post-exposure. Values are mean ± SEM (n=6).</w:t>
      </w:r>
    </w:p>
    <w:p w:rsidR="001F1436" w:rsidRDefault="001F1436"/>
    <w:sectPr w:rsidR="001F1436" w:rsidSect="005B0E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F1436"/>
    <w:rsid w:val="00005314"/>
    <w:rsid w:val="001F1436"/>
    <w:rsid w:val="005B0E94"/>
    <w:rsid w:val="00874830"/>
    <w:rsid w:val="00DC3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1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4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2017-04-14T01:00:00Z</dcterms:created>
  <dcterms:modified xsi:type="dcterms:W3CDTF">2017-04-14T02:09:00Z</dcterms:modified>
</cp:coreProperties>
</file>